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Plan de Acción Nacional de Gobierno Abierto 2018-2020</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Plan Nacional de Educación en Derechos Humanos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Ficha de Registro del Compromiso</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Nombre del Compromiso</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Pr>
        <w:footnoteReference w:customMarkFollows="0" w:id="0"/>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lectura y la escritura como herramientas de desarrollo y derecho de todas las personas. </w:t>
            </w:r>
          </w:p>
        </w:tc>
      </w:tr>
    </w:tb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spacing w:after="60" w:before="60" w:lineRule="auto"/>
        <w:jc w:val="both"/>
        <w:rPr>
          <w:sz w:val="24"/>
          <w:szCs w:val="24"/>
        </w:rPr>
      </w:pPr>
      <w:r w:rsidDel="00000000" w:rsidR="00000000" w:rsidRPr="00000000">
        <w:rPr>
          <w:b w:val="1"/>
          <w:sz w:val="24"/>
          <w:szCs w:val="24"/>
          <w:rtl w:val="0"/>
        </w:rPr>
        <w:t xml:space="preserve">Nombre de la Institución u organización responsable: </w:t>
      </w:r>
      <w:r w:rsidDel="00000000" w:rsidR="00000000" w:rsidRPr="00000000">
        <w:rPr>
          <w:sz w:val="24"/>
          <w:szCs w:val="24"/>
          <w:rtl w:val="0"/>
        </w:rPr>
        <w:t xml:space="preserve"> </w:t>
      </w:r>
    </w:p>
    <w:tbl>
      <w:tblPr>
        <w:tblStyle w:val="Table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Plan Nacional de Lectura, Dirección de Educación, Ministerio de Educación y Cultura</w:t>
            </w:r>
          </w:p>
        </w:tc>
      </w:tr>
    </w:tbl>
    <w:p w:rsidR="00000000" w:rsidDel="00000000" w:rsidP="00000000" w:rsidRDefault="00000000" w:rsidRPr="00000000" w14:paraId="0000000B">
      <w:pPr>
        <w:spacing w:after="60" w:before="60" w:lineRule="auto"/>
        <w:jc w:val="both"/>
        <w:rPr>
          <w:sz w:val="24"/>
          <w:szCs w:val="24"/>
        </w:rPr>
      </w:pPr>
      <w:r w:rsidDel="00000000" w:rsidR="00000000" w:rsidRPr="00000000">
        <w:rPr>
          <w:rtl w:val="0"/>
        </w:rPr>
      </w:r>
    </w:p>
    <w:p w:rsidR="00000000" w:rsidDel="00000000" w:rsidP="00000000" w:rsidRDefault="00000000" w:rsidRPr="00000000" w14:paraId="0000000C">
      <w:pPr>
        <w:spacing w:after="60" w:before="60" w:lineRule="auto"/>
        <w:jc w:val="both"/>
        <w:rPr>
          <w:b w:val="1"/>
          <w:sz w:val="24"/>
          <w:szCs w:val="24"/>
        </w:rPr>
      </w:pPr>
      <w:r w:rsidDel="00000000" w:rsidR="00000000" w:rsidRPr="00000000">
        <w:rPr>
          <w:b w:val="1"/>
          <w:sz w:val="24"/>
          <w:szCs w:val="24"/>
          <w:rtl w:val="0"/>
        </w:rPr>
        <w:t xml:space="preserve">Descripción del compromiso</w:t>
      </w:r>
    </w:p>
    <w:tbl>
      <w:tblPr>
        <w:tblStyle w:val="Table3"/>
        <w:tblW w:w="8734.0" w:type="dxa"/>
        <w:jc w:val="left"/>
        <w:tblInd w:w="0.999999999999985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7"/>
        <w:gridCol w:w="5757"/>
        <w:tblGridChange w:id="0">
          <w:tblGrid>
            <w:gridCol w:w="2977"/>
            <w:gridCol w:w="5757"/>
          </w:tblGrid>
        </w:tblGridChange>
      </w:tblGrid>
      <w:tr>
        <w:trPr>
          <w:trHeight w:val="547" w:hRule="atLeast"/>
        </w:trPr>
        <w:tc>
          <w:tcPr>
            <w:shd w:fill="auto" w:val="clear"/>
            <w:tcMar>
              <w:top w:w="0.0" w:type="dxa"/>
              <w:left w:w="108.0" w:type="dxa"/>
              <w:bottom w:w="0.0" w:type="dxa"/>
              <w:right w:w="108.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¿Cuál es el compromiso?</w:t>
            </w:r>
          </w:p>
        </w:tc>
        <w:tc>
          <w:tcPr>
            <w:shd w:fill="auto" w:val="clear"/>
            <w:tcMar>
              <w:top w:w="0.0" w:type="dxa"/>
              <w:left w:w="108.0" w:type="dxa"/>
              <w:bottom w:w="0.0" w:type="dxa"/>
              <w:right w:w="108.0" w:type="dxa"/>
            </w:tcMar>
          </w:tcPr>
          <w:p w:rsidR="00000000" w:rsidDel="00000000" w:rsidP="00000000" w:rsidRDefault="00000000" w:rsidRPr="00000000" w14:paraId="0000000E">
            <w:pPr>
              <w:spacing w:after="60" w:before="60" w:lineRule="auto"/>
              <w:ind w:left="0" w:firstLine="0"/>
              <w:jc w:val="both"/>
              <w:rPr>
                <w:color w:val="363635"/>
                <w:sz w:val="24"/>
                <w:szCs w:val="24"/>
              </w:rPr>
            </w:pPr>
            <w:r w:rsidDel="00000000" w:rsidR="00000000" w:rsidRPr="00000000">
              <w:rPr>
                <w:rtl w:val="0"/>
              </w:rPr>
            </w:r>
          </w:p>
          <w:p w:rsidR="00000000" w:rsidDel="00000000" w:rsidP="00000000" w:rsidRDefault="00000000" w:rsidRPr="00000000" w14:paraId="0000000F">
            <w:pPr>
              <w:spacing w:after="60" w:before="60" w:lineRule="auto"/>
              <w:jc w:val="both"/>
              <w:rPr>
                <w:color w:val="363635"/>
                <w:sz w:val="24"/>
                <w:szCs w:val="24"/>
              </w:rPr>
            </w:pPr>
            <w:r w:rsidDel="00000000" w:rsidR="00000000" w:rsidRPr="00000000">
              <w:rPr>
                <w:rtl w:val="0"/>
              </w:rPr>
            </w:r>
          </w:p>
          <w:p w:rsidR="00000000" w:rsidDel="00000000" w:rsidP="00000000" w:rsidRDefault="00000000" w:rsidRPr="00000000" w14:paraId="00000010">
            <w:pPr>
              <w:numPr>
                <w:ilvl w:val="0"/>
                <w:numId w:val="6"/>
              </w:numPr>
              <w:spacing w:after="60" w:before="60" w:lineRule="auto"/>
              <w:ind w:left="720" w:hanging="360"/>
              <w:jc w:val="both"/>
              <w:rPr>
                <w:color w:val="363635"/>
                <w:sz w:val="24"/>
                <w:szCs w:val="24"/>
              </w:rPr>
            </w:pPr>
            <w:r w:rsidDel="00000000" w:rsidR="00000000" w:rsidRPr="00000000">
              <w:rPr>
                <w:color w:val="363635"/>
                <w:sz w:val="24"/>
                <w:szCs w:val="24"/>
                <w:rtl w:val="0"/>
              </w:rPr>
              <w:t xml:space="preserve">Apoyo a sectores vulnerables, a través de la lectura, un derecho, en muchos casos, postergado o ausente por razones inherentes a la condición socioeconómica de los asistentes. </w:t>
            </w:r>
          </w:p>
          <w:p w:rsidR="00000000" w:rsidDel="00000000" w:rsidP="00000000" w:rsidRDefault="00000000" w:rsidRPr="00000000" w14:paraId="00000011">
            <w:pPr>
              <w:spacing w:after="60" w:before="60" w:lineRule="auto"/>
              <w:jc w:val="both"/>
              <w:rPr>
                <w:color w:val="363635"/>
                <w:sz w:val="24"/>
                <w:szCs w:val="24"/>
              </w:rPr>
            </w:pPr>
            <w:r w:rsidDel="00000000" w:rsidR="00000000" w:rsidRPr="00000000">
              <w:rPr>
                <w:rtl w:val="0"/>
              </w:rPr>
            </w:r>
          </w:p>
          <w:p w:rsidR="00000000" w:rsidDel="00000000" w:rsidP="00000000" w:rsidRDefault="00000000" w:rsidRPr="00000000" w14:paraId="00000012">
            <w:pPr>
              <w:spacing w:after="60" w:before="60" w:lineRule="auto"/>
              <w:jc w:val="both"/>
              <w:rPr>
                <w:color w:val="363635"/>
                <w:sz w:val="24"/>
                <w:szCs w:val="24"/>
              </w:rPr>
            </w:pPr>
            <w:r w:rsidDel="00000000" w:rsidR="00000000" w:rsidRPr="00000000">
              <w:rPr>
                <w:rtl w:val="0"/>
              </w:rPr>
            </w:r>
          </w:p>
        </w:tc>
      </w:tr>
      <w:tr>
        <w:trPr>
          <w:trHeight w:val="91" w:hRule="atLeast"/>
        </w:trPr>
        <w:tc>
          <w:tcPr>
            <w:shd w:fill="auto" w:val="clear"/>
            <w:tcMar>
              <w:top w:w="0.0" w:type="dxa"/>
              <w:left w:w="108.0" w:type="dxa"/>
              <w:bottom w:w="0.0" w:type="dxa"/>
              <w:right w:w="108.0" w:type="dxa"/>
            </w:tcM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Objetivo</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Sensibilizar, reflexionar, identificar a través de la lectura la empatía con el otro, estimular el hábito lector, facilitar y colaborar en la reinserción a la educación formal o a la vida social mediante la apropiación de la lectoescritura.</w:t>
            </w:r>
          </w:p>
        </w:tc>
      </w:tr>
      <w:tr>
        <w:trPr>
          <w:trHeight w:val="91" w:hRule="atLeast"/>
        </w:trPr>
        <w:tc>
          <w:tcPr>
            <w:shd w:fill="auto" w:val="clear"/>
            <w:tcMar>
              <w:top w:w="0.0" w:type="dxa"/>
              <w:left w:w="108.0" w:type="dxa"/>
              <w:bottom w:w="0.0" w:type="dxa"/>
              <w:right w:w="108.0" w:type="dxa"/>
            </w:tcM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Destinatarios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numPr>
                <w:ilvl w:val="0"/>
                <w:numId w:val="1"/>
              </w:numPr>
              <w:spacing w:after="60" w:before="60" w:lineRule="auto"/>
              <w:ind w:left="720" w:hanging="360"/>
              <w:jc w:val="both"/>
              <w:rPr>
                <w:color w:val="363635"/>
                <w:sz w:val="24"/>
                <w:szCs w:val="24"/>
              </w:rPr>
            </w:pPr>
            <w:r w:rsidDel="00000000" w:rsidR="00000000" w:rsidRPr="00000000">
              <w:rPr>
                <w:color w:val="363635"/>
                <w:sz w:val="24"/>
                <w:szCs w:val="24"/>
                <w:rtl w:val="0"/>
              </w:rPr>
              <w:t xml:space="preserve">Sala de espera del Policlínico de Pediatría del Cerro, sala de espera del block quirúrgico del Hospital Maciel, clubes de niños del INAU, en especial Club de niños Rambla Francia, educadores de CECAP, jóvenes de liceos públicos y privados, Dirección Nacional de Apoyo al Liberado. </w:t>
            </w:r>
            <w:r w:rsidDel="00000000" w:rsidR="00000000" w:rsidRPr="00000000">
              <w:rPr>
                <w:rtl w:val="0"/>
              </w:rPr>
            </w:r>
          </w:p>
        </w:tc>
      </w:tr>
      <w:tr>
        <w:trPr>
          <w:trHeight w:val="91" w:hRule="atLeast"/>
        </w:trPr>
        <w:tc>
          <w:tcPr>
            <w:shd w:fill="auto" w:val="clear"/>
            <w:tcMar>
              <w:top w:w="0.0" w:type="dxa"/>
              <w:left w:w="108.0" w:type="dxa"/>
              <w:bottom w:w="0.0" w:type="dxa"/>
              <w:right w:w="108.0" w:type="dxa"/>
            </w:tcM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Objetivo/s del Plan Nacional de Educación en DDHH en los que se enmarca. </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2"/>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60" w:line="276"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1)Promover cultura en derechos humanos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60" w:line="276"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Involucramiento de actores estratégicos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F">
      <w:pPr>
        <w:spacing w:after="60" w:before="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Metas y/o  Principales Hitos  </w:t>
      </w:r>
      <w:r w:rsidDel="00000000" w:rsidR="00000000" w:rsidRPr="00000000">
        <w:rPr>
          <w:rtl w:val="0"/>
        </w:rPr>
      </w:r>
    </w:p>
    <w:tbl>
      <w:tblPr>
        <w:tblStyle w:val="Table4"/>
        <w:tblW w:w="8835.0" w:type="dxa"/>
        <w:jc w:val="left"/>
        <w:tblInd w:w="-108.0" w:type="dxa"/>
        <w:tblBorders>
          <w:top w:color="00000a" w:space="0" w:sz="4" w:val="single"/>
          <w:left w:color="00000a" w:space="0" w:sz="4" w:val="single"/>
          <w:bottom w:color="00000a" w:space="0" w:sz="4" w:val="single"/>
          <w:right w:color="00000a" w:space="0" w:sz="4" w:val="single"/>
        </w:tblBorders>
        <w:tblLayout w:type="fixed"/>
        <w:tblLook w:val="0000"/>
      </w:tblPr>
      <w:tblGrid>
        <w:gridCol w:w="4275"/>
        <w:gridCol w:w="2595"/>
        <w:gridCol w:w="1965"/>
        <w:tblGridChange w:id="0">
          <w:tblGrid>
            <w:gridCol w:w="4275"/>
            <w:gridCol w:w="2595"/>
            <w:gridCol w:w="1965"/>
          </w:tblGrid>
        </w:tblGridChange>
      </w:tblGrid>
      <w:tr>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Descripción de la Meta y/o principal Hito</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Pr>
              <w:footnoteReference w:customMarkFollows="0" w:id="3"/>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Fecha 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inicio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Fecha de término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numPr>
                <w:ilvl w:val="0"/>
                <w:numId w:val="4"/>
              </w:numPr>
              <w:spacing w:before="200" w:line="276" w:lineRule="auto"/>
              <w:ind w:left="720" w:hanging="360"/>
              <w:jc w:val="both"/>
              <w:rPr>
                <w:rFonts w:ascii="Arial" w:cs="Arial" w:eastAsia="Arial" w:hAnsi="Arial"/>
                <w:color w:val="211915"/>
                <w:sz w:val="20"/>
                <w:szCs w:val="20"/>
              </w:rPr>
            </w:pPr>
            <w:r w:rsidDel="00000000" w:rsidR="00000000" w:rsidRPr="00000000">
              <w:rPr>
                <w:rFonts w:ascii="Arial" w:cs="Arial" w:eastAsia="Arial" w:hAnsi="Arial"/>
                <w:color w:val="211915"/>
                <w:sz w:val="20"/>
                <w:szCs w:val="20"/>
                <w:rtl w:val="0"/>
              </w:rPr>
              <w:t xml:space="preserve">Cursos  virtuales y semipresenciales a formadores de 9 Centros Educativos de Capacitación y Producción (CECAP) y a 12 clubes de niños y clubes juveniles del INAU en estrategias de mediación de lectura. Se les hizo entrega de una minibiblioteca de 30 libros.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25">
            <w:pPr>
              <w:spacing w:before="200" w:line="276" w:lineRule="auto"/>
              <w:ind w:left="720" w:firstLine="0"/>
              <w:jc w:val="both"/>
              <w:rPr>
                <w:sz w:val="24"/>
                <w:szCs w:val="24"/>
              </w:rPr>
            </w:pPr>
            <w:r w:rsidDel="00000000" w:rsidR="00000000" w:rsidRPr="00000000">
              <w:rPr>
                <w:sz w:val="24"/>
                <w:szCs w:val="24"/>
                <w:rtl w:val="0"/>
              </w:rPr>
              <w:t xml:space="preserve">julio</w:t>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26">
            <w:pPr>
              <w:spacing w:before="200" w:line="276" w:lineRule="auto"/>
              <w:ind w:left="720" w:firstLine="0"/>
              <w:jc w:val="both"/>
              <w:rPr>
                <w:sz w:val="24"/>
                <w:szCs w:val="24"/>
              </w:rPr>
            </w:pPr>
            <w:r w:rsidDel="00000000" w:rsidR="00000000" w:rsidRPr="00000000">
              <w:rPr>
                <w:sz w:val="24"/>
                <w:szCs w:val="24"/>
                <w:rtl w:val="0"/>
              </w:rPr>
              <w:t xml:space="preserve">octubre</w:t>
            </w:r>
          </w:p>
        </w:tc>
      </w:tr>
      <w:tr>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27">
            <w:pPr>
              <w:numPr>
                <w:ilvl w:val="0"/>
                <w:numId w:val="4"/>
              </w:numPr>
              <w:spacing w:before="200" w:line="276" w:lineRule="auto"/>
              <w:ind w:left="720" w:hanging="360"/>
              <w:jc w:val="both"/>
              <w:rPr>
                <w:rFonts w:ascii="Arial" w:cs="Arial" w:eastAsia="Arial" w:hAnsi="Arial"/>
                <w:color w:val="211915"/>
                <w:sz w:val="20"/>
                <w:szCs w:val="20"/>
              </w:rPr>
            </w:pPr>
            <w:r w:rsidDel="00000000" w:rsidR="00000000" w:rsidRPr="00000000">
              <w:rPr>
                <w:rFonts w:ascii="Arial" w:cs="Arial" w:eastAsia="Arial" w:hAnsi="Arial"/>
                <w:color w:val="211915"/>
                <w:sz w:val="20"/>
                <w:szCs w:val="20"/>
                <w:rtl w:val="0"/>
              </w:rPr>
              <w:t xml:space="preserve">Visita mensual a la Sala de Espera de Pediatría del Policlínico del Cerro, y quincenal a la sala de espera del block quirúrgico del Hospital Maciel, atendiendo en su mayoría a población vulnerable. Se obtuvo una respuesta muy positiva. Se llegó a una población de aproximadamente 300 personas.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marzo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diciembre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2A">
            <w:pPr>
              <w:numPr>
                <w:ilvl w:val="0"/>
                <w:numId w:val="4"/>
              </w:numPr>
              <w:spacing w:before="200" w:line="276" w:lineRule="auto"/>
              <w:ind w:left="720" w:hanging="360"/>
              <w:jc w:val="both"/>
              <w:rPr>
                <w:rFonts w:ascii="Arial" w:cs="Arial" w:eastAsia="Arial" w:hAnsi="Arial"/>
                <w:color w:val="211915"/>
                <w:sz w:val="20"/>
                <w:szCs w:val="20"/>
              </w:rPr>
            </w:pPr>
            <w:r w:rsidDel="00000000" w:rsidR="00000000" w:rsidRPr="00000000">
              <w:rPr>
                <w:rFonts w:ascii="Arial" w:cs="Arial" w:eastAsia="Arial" w:hAnsi="Arial"/>
                <w:color w:val="211915"/>
                <w:sz w:val="20"/>
                <w:szCs w:val="20"/>
                <w:rtl w:val="0"/>
              </w:rPr>
              <w:t xml:space="preserve">Se está organizando un espacio de biblioteca en la UIPPL de Durazno en coordinación con las personas privadas de libertad, tanto en el masculino como en el femenino. </w:t>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junio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diciembre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2D">
            <w:pPr>
              <w:numPr>
                <w:ilvl w:val="0"/>
                <w:numId w:val="4"/>
              </w:numPr>
              <w:spacing w:before="200" w:line="276" w:lineRule="auto"/>
              <w:ind w:left="720" w:hanging="360"/>
              <w:jc w:val="both"/>
              <w:rPr>
                <w:rFonts w:ascii="Arial" w:cs="Arial" w:eastAsia="Arial" w:hAnsi="Arial"/>
                <w:color w:val="211915"/>
                <w:sz w:val="20"/>
                <w:szCs w:val="20"/>
              </w:rPr>
            </w:pPr>
            <w:r w:rsidDel="00000000" w:rsidR="00000000" w:rsidRPr="00000000">
              <w:rPr>
                <w:rFonts w:ascii="Arial" w:cs="Arial" w:eastAsia="Arial" w:hAnsi="Arial"/>
                <w:color w:val="211915"/>
                <w:sz w:val="20"/>
                <w:szCs w:val="20"/>
                <w:rtl w:val="0"/>
              </w:rPr>
              <w:t xml:space="preserve">Actividad quincenal en la Biblioteca José H. Figueira con el Club de Niños Rambla Francia donde la mayoría de sus integrantes son migrantes y niños y niñas con situaciones familiares muy vulnerables. </w:t>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abril</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diciembre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30">
            <w:pPr>
              <w:numPr>
                <w:ilvl w:val="0"/>
                <w:numId w:val="4"/>
              </w:numPr>
              <w:spacing w:before="200" w:line="276" w:lineRule="auto"/>
              <w:ind w:left="720" w:hanging="360"/>
              <w:jc w:val="both"/>
              <w:rPr>
                <w:rFonts w:ascii="Arial" w:cs="Arial" w:eastAsia="Arial" w:hAnsi="Arial"/>
                <w:color w:val="211915"/>
                <w:sz w:val="20"/>
                <w:szCs w:val="20"/>
              </w:rPr>
            </w:pPr>
            <w:r w:rsidDel="00000000" w:rsidR="00000000" w:rsidRPr="00000000">
              <w:rPr>
                <w:rFonts w:ascii="Arial" w:cs="Arial" w:eastAsia="Arial" w:hAnsi="Arial"/>
                <w:color w:val="211915"/>
                <w:sz w:val="20"/>
                <w:szCs w:val="20"/>
                <w:rtl w:val="0"/>
              </w:rPr>
              <w:t xml:space="preserve">Participamos del concurso  organizado por el sello Loqueleo “Convivencia sin violencia” que consistía en realizar reseñas de booktubers  sobre los libros de la colección Zona Libre de la editorial Norma que tratan sobre situaciones de violencia familiar social. Se hizo la entrega de premios en un acto en la Cátedra Alicia Goyena. </w:t>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agosto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noviembre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33">
            <w:pPr>
              <w:numPr>
                <w:ilvl w:val="0"/>
                <w:numId w:val="4"/>
              </w:numPr>
              <w:spacing w:before="200" w:line="276" w:lineRule="auto"/>
              <w:ind w:left="720" w:hanging="360"/>
              <w:jc w:val="both"/>
              <w:rPr>
                <w:rFonts w:ascii="Arial" w:cs="Arial" w:eastAsia="Arial" w:hAnsi="Arial"/>
                <w:color w:val="211915"/>
                <w:sz w:val="20"/>
                <w:szCs w:val="20"/>
              </w:rPr>
            </w:pPr>
            <w:r w:rsidDel="00000000" w:rsidR="00000000" w:rsidRPr="00000000">
              <w:rPr>
                <w:rFonts w:ascii="Arial" w:cs="Arial" w:eastAsia="Arial" w:hAnsi="Arial"/>
                <w:color w:val="211915"/>
                <w:sz w:val="20"/>
                <w:szCs w:val="20"/>
                <w:rtl w:val="0"/>
              </w:rPr>
              <w:t xml:space="preserve">Se participó del concurso “Recetas saludables” en coordinación con más de 10 instituciones. Se presentaron más de 300 recetas. La  entrega de premios se hizo en el MAM. se presentó asimismo el libro con las recetas. </w:t>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mayo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diciembre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36">
            <w:pPr>
              <w:numPr>
                <w:ilvl w:val="0"/>
                <w:numId w:val="5"/>
              </w:numPr>
              <w:spacing w:before="200" w:line="276" w:lineRule="auto"/>
              <w:ind w:left="720" w:hanging="360"/>
              <w:jc w:val="both"/>
              <w:rPr>
                <w:rFonts w:ascii="Arial" w:cs="Arial" w:eastAsia="Arial" w:hAnsi="Arial"/>
                <w:color w:val="211915"/>
                <w:sz w:val="20"/>
                <w:szCs w:val="20"/>
                <w:u w:val="none"/>
              </w:rPr>
            </w:pPr>
            <w:r w:rsidDel="00000000" w:rsidR="00000000" w:rsidRPr="00000000">
              <w:rPr>
                <w:rFonts w:ascii="Arial" w:cs="Arial" w:eastAsia="Arial" w:hAnsi="Arial"/>
                <w:color w:val="211915"/>
                <w:sz w:val="20"/>
                <w:szCs w:val="20"/>
                <w:rtl w:val="0"/>
              </w:rPr>
              <w:t xml:space="preserve">Apoyo al Club de Lectura de la Posada de la Dirección Nacional de Apoyo al Liberado. </w:t>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marzo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diciembre</w:t>
            </w:r>
            <w:r w:rsidDel="00000000" w:rsidR="00000000" w:rsidRPr="00000000">
              <w:rPr>
                <w:rtl w:val="0"/>
              </w:rPr>
            </w:r>
          </w:p>
        </w:tc>
      </w:tr>
    </w:tb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Información de Contacto</w:t>
      </w:r>
      <w:r w:rsidDel="00000000" w:rsidR="00000000" w:rsidRPr="00000000">
        <w:rPr>
          <w:rtl w:val="0"/>
        </w:rPr>
      </w:r>
    </w:p>
    <w:tbl>
      <w:tblPr>
        <w:tblStyle w:val="Table5"/>
        <w:tblW w:w="8828.0" w:type="dxa"/>
        <w:jc w:val="left"/>
        <w:tblInd w:w="-108.0" w:type="dxa"/>
        <w:tblBorders>
          <w:top w:color="00000a" w:space="0" w:sz="4" w:val="single"/>
          <w:left w:color="00000a" w:space="0" w:sz="4" w:val="single"/>
          <w:bottom w:color="00000a" w:space="0" w:sz="4" w:val="single"/>
          <w:right w:color="00000a" w:space="0" w:sz="4" w:val="single"/>
        </w:tblBorders>
        <w:tblLayout w:type="fixed"/>
        <w:tblLook w:val="0000"/>
      </w:tblPr>
      <w:tblGrid>
        <w:gridCol w:w="3760"/>
        <w:gridCol w:w="5068"/>
        <w:tblGridChange w:id="0">
          <w:tblGrid>
            <w:gridCol w:w="3760"/>
            <w:gridCol w:w="5068"/>
          </w:tblGrid>
        </w:tblGridChange>
      </w:tblGrid>
      <w:tr>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Nombre del responsable institucional</w:t>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Rosita Ángelo</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Cargo, Departamento, Área  </w:t>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Directora de Educación, MEC</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Correo electrónico </w:t>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secdireducacion@mec.gub.uy</w:t>
              </w:r>
            </w:hyperlink>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Nombre del responsable técnico</w:t>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Pilar Barreiro</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Cargo, Departamento, Área  </w:t>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Coordinadora, Plan Nacional de Lectura, Dirección de Educación, MEC.</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Correo electrónico </w:t>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pbarreiro@mec.gub.uy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Otros actores institucionales que acompañarían el compromiso</w:t>
      </w:r>
      <w:r w:rsidDel="00000000" w:rsidR="00000000" w:rsidRPr="00000000">
        <w:rPr>
          <w:rtl w:val="0"/>
        </w:rPr>
      </w:r>
    </w:p>
    <w:tbl>
      <w:tblPr>
        <w:tblStyle w:val="Table6"/>
        <w:tblW w:w="8828.0" w:type="dxa"/>
        <w:jc w:val="left"/>
        <w:tblInd w:w="-108.0" w:type="dxa"/>
        <w:tblBorders>
          <w:top w:color="00000a" w:space="0" w:sz="4" w:val="single"/>
          <w:left w:color="00000a" w:space="0" w:sz="4" w:val="single"/>
          <w:bottom w:color="00000a" w:space="0" w:sz="4" w:val="single"/>
          <w:right w:color="00000a" w:space="0" w:sz="4" w:val="single"/>
        </w:tblBorders>
        <w:tblLayout w:type="fixed"/>
        <w:tblLook w:val="0000"/>
      </w:tblPr>
      <w:tblGrid>
        <w:gridCol w:w="5355"/>
        <w:gridCol w:w="3473"/>
        <w:tblGridChange w:id="0">
          <w:tblGrid>
            <w:gridCol w:w="5355"/>
            <w:gridCol w:w="3473"/>
          </w:tblGrid>
        </w:tblGridChange>
      </w:tblGrid>
      <w:tr>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Instituciones del sector público</w:t>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DINALI, INAU,  CECAP, Consejo de Educación Secundaria, ASSE, Hospital Maciel</w:t>
            </w:r>
          </w:p>
        </w:tc>
      </w:tr>
      <w:tr>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Instituciones del sector privado, organizaciones multilaterales, internacionales, grupos de trabajo, comisiones, etc.</w:t>
            </w:r>
          </w:p>
        </w:tc>
        <w:tc>
          <w:tcPr>
            <w:tcBorders>
              <w:top w:color="00000a" w:space="0" w:sz="4" w:val="single"/>
              <w:left w:color="00000a" w:space="0" w:sz="4" w:val="single"/>
              <w:bottom w:color="00000a" w:space="0" w:sz="4" w:val="single"/>
              <w:right w:color="00000a" w:space="0" w:sz="4" w:val="single"/>
            </w:tcBorders>
            <w:shd w:fill="auto" w:val="clear"/>
            <w:tcMar>
              <w:top w:w="0.0" w:type="dxa"/>
              <w:left w:w="108.0" w:type="dxa"/>
              <w:bottom w:w="0.0" w:type="dxa"/>
              <w:right w:w="108.0" w:type="dxa"/>
            </w:tcM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Gurises Unidos, Fundaci</w:t>
            </w:r>
            <w:r w:rsidDel="00000000" w:rsidR="00000000" w:rsidRPr="00000000">
              <w:rPr>
                <w:sz w:val="24"/>
                <w:szCs w:val="24"/>
                <w:rtl w:val="0"/>
              </w:rPr>
              <w:t xml:space="preserve">ón Itaú</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Cada institución puede inscribir varios compromisos. Si el compromiso incluye muchas actividades puede ser conveniente llenar más de un formulario. </w:t>
      </w:r>
    </w:p>
  </w:footnote>
  <w:footnote w:id="1">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Indique el objetivo en el que su institución enmarca el compromiso.</w:t>
      </w:r>
    </w:p>
  </w:footnote>
  <w:footnote w:id="2">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Puede marcar más de un objetivo si lo entiende necesario. </w:t>
      </w:r>
    </w:p>
  </w:footnote>
  <w:footnote w:id="3">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 caso de que lo necesite puede agregar más filas para incluir más metas o hitos.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Roman"/>
      <w:lvlText w:val="%1."/>
      <w:lvlJc w:val="righ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UY"/>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secdireducacion@mec.gub.uy" TargetMode="External"/><Relationship Id="rId8" Type="http://schemas.openxmlformats.org/officeDocument/2006/relationships/hyperlink" Target="mailto:pbarreiro@mec.gub.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